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68" w:rsidRPr="00F21E68" w:rsidRDefault="00F21E68" w:rsidP="00F21E68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F21E68">
        <w:rPr>
          <w:rFonts w:eastAsia="Times New Roman"/>
          <w:color w:val="000000" w:themeColor="text1"/>
          <w:sz w:val="28"/>
          <w:szCs w:val="28"/>
          <w:lang w:val="en-US"/>
        </w:rPr>
        <w:t>Am J Cardiol. 2021 Jan 30;S0002-9149(21)00089-8.</w:t>
      </w:r>
    </w:p>
    <w:p w:rsidR="00F21E68" w:rsidRPr="00F21E68" w:rsidRDefault="00F21E68" w:rsidP="00F21E68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F21E68">
        <w:rPr>
          <w:rFonts w:eastAsia="Times New Roman"/>
          <w:color w:val="000000" w:themeColor="text1"/>
          <w:sz w:val="28"/>
          <w:szCs w:val="28"/>
          <w:lang w:val="en-US"/>
        </w:rPr>
        <w:t>doi: 10.1016/j.amjcard.2021.01.018. Online ahead of print.</w:t>
      </w:r>
    </w:p>
    <w:p w:rsidR="00F21E68" w:rsidRPr="005628D8" w:rsidRDefault="00F21E68" w:rsidP="00F21E68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</w:rPr>
      </w:pPr>
      <w:r w:rsidRPr="008D1BBB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 xml:space="preserve">Влияние ожирения на реакцию на </w:t>
      </w:r>
      <w:proofErr w:type="spellStart"/>
      <w:r w:rsidRPr="008D1BBB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спиронолактон</w:t>
      </w:r>
      <w:proofErr w:type="spellEnd"/>
      <w:r w:rsidRPr="008D1BBB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 xml:space="preserve"> у пациентов с сердечной недостаточностью с сохраненной фракцией выброса</w:t>
      </w:r>
    </w:p>
    <w:p w:rsidR="00F21E68" w:rsidRPr="00F21E68" w:rsidRDefault="00F21E68" w:rsidP="00F21E68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 w:rsidRPr="00F21E68"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  <w:t>Effect of Obesity on Response to Spironolactone in Patients with Heart Failure with Preserved Ejection Fraction</w:t>
      </w:r>
    </w:p>
    <w:p w:rsidR="00F21E68" w:rsidRPr="00F21E68" w:rsidRDefault="00F21E68" w:rsidP="00F21E68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>
        <w:fldChar w:fldCharType="begin"/>
      </w:r>
      <w:r w:rsidRPr="00F21E68">
        <w:rPr>
          <w:lang w:val="en-US"/>
        </w:rPr>
        <w:instrText xml:space="preserve"> HYPERLINK "https://www.ajconline.org/article/S0002-9149(21)00089-8/fulltext" </w:instrText>
      </w:r>
      <w:r>
        <w:fldChar w:fldCharType="separate"/>
      </w:r>
      <w:r w:rsidRPr="00F21E68">
        <w:rPr>
          <w:rStyle w:val="a4"/>
          <w:rFonts w:eastAsia="Times New Roman"/>
          <w:b/>
          <w:bCs/>
          <w:kern w:val="36"/>
          <w:sz w:val="28"/>
          <w:szCs w:val="28"/>
          <w:lang w:val="en-US"/>
        </w:rPr>
        <w:t>https://www.ajconline.org/article/S0002-9149(21)00089-8/fulltext</w:t>
      </w:r>
      <w:r>
        <w:rPr>
          <w:rStyle w:val="a4"/>
          <w:rFonts w:eastAsia="Times New Roman"/>
          <w:b/>
          <w:bCs/>
          <w:kern w:val="36"/>
          <w:sz w:val="28"/>
          <w:szCs w:val="28"/>
        </w:rPr>
        <w:fldChar w:fldCharType="end"/>
      </w:r>
    </w:p>
    <w:p w:rsidR="00F21E68" w:rsidRPr="00F21E68" w:rsidRDefault="00F21E68" w:rsidP="00F21E68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F21E68">
        <w:rPr>
          <w:rFonts w:eastAsia="Times New Roman"/>
          <w:color w:val="000000" w:themeColor="text1"/>
          <w:sz w:val="28"/>
          <w:szCs w:val="28"/>
          <w:lang w:val="en-US"/>
        </w:rPr>
        <w:t>Khaled Elkholey, Lampros Papadimitriou, Javed Butler, Udho Thadani, Stavros Stavrakis</w:t>
      </w:r>
    </w:p>
    <w:p w:rsidR="00F21E68" w:rsidRPr="008D1BBB" w:rsidRDefault="00F21E68" w:rsidP="00F21E68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1BBB">
        <w:rPr>
          <w:bCs/>
          <w:color w:val="000000" w:themeColor="text1"/>
          <w:sz w:val="28"/>
          <w:szCs w:val="28"/>
        </w:rPr>
        <w:t>Ожирение часто встречается при сердечной недостаточности с сохраненной фракцией выброса (</w:t>
      </w:r>
      <w:proofErr w:type="spellStart"/>
      <w:r w:rsidRPr="008D1BBB">
        <w:rPr>
          <w:bCs/>
          <w:color w:val="000000" w:themeColor="text1"/>
          <w:sz w:val="28"/>
          <w:szCs w:val="28"/>
        </w:rPr>
        <w:t>HFpEF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). Неясно, влияет ли ожирение на реакцию на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у пациентов с </w:t>
      </w:r>
      <w:proofErr w:type="spellStart"/>
      <w:r w:rsidRPr="008D1BBB">
        <w:rPr>
          <w:bCs/>
          <w:color w:val="000000" w:themeColor="text1"/>
          <w:sz w:val="28"/>
          <w:szCs w:val="28"/>
        </w:rPr>
        <w:t>HFpEF</w:t>
      </w:r>
      <w:proofErr w:type="spellEnd"/>
      <w:r w:rsidRPr="008D1BBB">
        <w:rPr>
          <w:bCs/>
          <w:color w:val="000000" w:themeColor="text1"/>
          <w:sz w:val="28"/>
          <w:szCs w:val="28"/>
        </w:rPr>
        <w:t>. Авторы изучили влияние ожирения, определяемого индексом массы тела (ИМТ) и окружностью талии (</w:t>
      </w:r>
      <w:proofErr w:type="gramStart"/>
      <w:r w:rsidRPr="008D1BBB">
        <w:rPr>
          <w:bCs/>
          <w:color w:val="000000" w:themeColor="text1"/>
          <w:sz w:val="28"/>
          <w:szCs w:val="28"/>
        </w:rPr>
        <w:t>ОТ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), </w:t>
      </w:r>
      <w:proofErr w:type="gramStart"/>
      <w:r w:rsidRPr="008D1BBB">
        <w:rPr>
          <w:bCs/>
          <w:color w:val="000000" w:themeColor="text1"/>
          <w:sz w:val="28"/>
          <w:szCs w:val="28"/>
        </w:rPr>
        <w:t>на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реакцию на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у пациентов с </w:t>
      </w:r>
      <w:proofErr w:type="spellStart"/>
      <w:r w:rsidRPr="008D1BBB">
        <w:rPr>
          <w:bCs/>
          <w:color w:val="000000" w:themeColor="text1"/>
          <w:sz w:val="28"/>
          <w:szCs w:val="28"/>
        </w:rPr>
        <w:t>HFpEF</w:t>
      </w:r>
      <w:proofErr w:type="spellEnd"/>
      <w:r w:rsidRPr="008D1BBB">
        <w:rPr>
          <w:bCs/>
          <w:color w:val="000000" w:themeColor="text1"/>
          <w:sz w:val="28"/>
          <w:szCs w:val="28"/>
        </w:rPr>
        <w:t>, включенных в исследование TOPCAT (лечение сердечной недостаточности с сохраненной сердечной функцией с помощью антагониста альдостерона). Это был апостериорный исследовательский анализ американской когорты TOPCAT. ИМТ ≥30 кг/м</w:t>
      </w:r>
      <w:proofErr w:type="gramStart"/>
      <w:r w:rsidRPr="008D1BBB">
        <w:rPr>
          <w:bCs/>
          <w:color w:val="000000" w:themeColor="text1"/>
          <w:sz w:val="28"/>
          <w:szCs w:val="28"/>
        </w:rPr>
        <w:t>2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использовался для определения группы с ожирением, а ОТ ≥102 см у мужчин и 88 см у женщин определялся как высокая ОТ. В отдельных анализах ИМТ и </w:t>
      </w:r>
      <w:proofErr w:type="gramStart"/>
      <w:r w:rsidRPr="008D1BBB">
        <w:rPr>
          <w:bCs/>
          <w:color w:val="000000" w:themeColor="text1"/>
          <w:sz w:val="28"/>
          <w:szCs w:val="28"/>
        </w:rPr>
        <w:t>ОТ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рассматривались как непрерывные переменные. Влияние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спиронолактона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по сравнению с плацебо на исходы рассчитывалось по ИМТ и </w:t>
      </w:r>
      <w:proofErr w:type="gramStart"/>
      <w:r w:rsidRPr="008D1BBB">
        <w:rPr>
          <w:bCs/>
          <w:color w:val="000000" w:themeColor="text1"/>
          <w:sz w:val="28"/>
          <w:szCs w:val="28"/>
        </w:rPr>
        <w:t>ОТ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8D1BBB">
        <w:rPr>
          <w:bCs/>
          <w:color w:val="000000" w:themeColor="text1"/>
          <w:sz w:val="28"/>
          <w:szCs w:val="28"/>
        </w:rPr>
        <w:t>с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использованием моделей пропорциональных рисков Кокса. Пациенты с ожирением были моложе и имели больше сопутствующих заболеваний. </w:t>
      </w:r>
      <w:proofErr w:type="gramStart"/>
      <w:r w:rsidRPr="008D1BBB">
        <w:rPr>
          <w:bCs/>
          <w:color w:val="000000" w:themeColor="text1"/>
          <w:sz w:val="28"/>
          <w:szCs w:val="28"/>
        </w:rPr>
        <w:t xml:space="preserve">В многофакторном анализе использование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спиронолактона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было связано со значительным снижением первичной конечной точки по сравнению с плацебо при ожирении (ОР=0,618, 95% ДИ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8D1BBB">
        <w:rPr>
          <w:bCs/>
          <w:color w:val="000000" w:themeColor="text1"/>
          <w:sz w:val="28"/>
          <w:szCs w:val="28"/>
        </w:rPr>
        <w:t>0,460-0,831, p=0,001), но не у субъектов без ожирения (ОР=0,946, 95% ДИ 0,623–1,437, p=0,796).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Наблюдалась линейная связь между постоянным ИМТ и эффектом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спиронолактона</w:t>
      </w:r>
      <w:proofErr w:type="spellEnd"/>
      <w:r w:rsidRPr="008D1BBB">
        <w:rPr>
          <w:bCs/>
          <w:color w:val="000000" w:themeColor="text1"/>
          <w:sz w:val="28"/>
          <w:szCs w:val="28"/>
        </w:rPr>
        <w:t>, причем эффект становился значительным при 33 кг/м</w:t>
      </w:r>
      <w:proofErr w:type="gramStart"/>
      <w:r w:rsidRPr="008D1BBB">
        <w:rPr>
          <w:bCs/>
          <w:color w:val="000000" w:themeColor="text1"/>
          <w:sz w:val="28"/>
          <w:szCs w:val="28"/>
        </w:rPr>
        <w:t>2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. Аналогичные результаты были получены для анализа на основе </w:t>
      </w:r>
      <w:proofErr w:type="gramStart"/>
      <w:r w:rsidRPr="008D1BBB">
        <w:rPr>
          <w:bCs/>
          <w:color w:val="000000" w:themeColor="text1"/>
          <w:sz w:val="28"/>
          <w:szCs w:val="28"/>
        </w:rPr>
        <w:t>ОТ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. </w:t>
      </w:r>
      <w:r w:rsidRPr="008D1BBB">
        <w:rPr>
          <w:bCs/>
          <w:color w:val="000000" w:themeColor="text1"/>
          <w:sz w:val="28"/>
          <w:szCs w:val="28"/>
        </w:rPr>
        <w:lastRenderedPageBreak/>
        <w:t xml:space="preserve">В заключение, использование </w:t>
      </w:r>
      <w:proofErr w:type="spellStart"/>
      <w:r w:rsidRPr="008D1BBB">
        <w:rPr>
          <w:bCs/>
          <w:color w:val="000000" w:themeColor="text1"/>
          <w:sz w:val="28"/>
          <w:szCs w:val="28"/>
        </w:rPr>
        <w:t>спиронолактона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у тучных пациентов с </w:t>
      </w:r>
      <w:proofErr w:type="spellStart"/>
      <w:r w:rsidRPr="008D1BBB">
        <w:rPr>
          <w:bCs/>
          <w:color w:val="000000" w:themeColor="text1"/>
          <w:sz w:val="28"/>
          <w:szCs w:val="28"/>
        </w:rPr>
        <w:t>HFpEF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было связано со снижением риска первичной конечной точки, </w:t>
      </w:r>
      <w:proofErr w:type="gramStart"/>
      <w:r w:rsidRPr="008D1BBB">
        <w:rPr>
          <w:bCs/>
          <w:color w:val="000000" w:themeColor="text1"/>
          <w:sz w:val="28"/>
          <w:szCs w:val="28"/>
        </w:rPr>
        <w:t>сердечно-сосудистой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смерти и госпитализаций по сравнению с плацебо. Требуются дальнейшие </w:t>
      </w:r>
      <w:proofErr w:type="spellStart"/>
      <w:r w:rsidRPr="008D1BBB">
        <w:rPr>
          <w:bCs/>
          <w:color w:val="000000" w:themeColor="text1"/>
          <w:sz w:val="28"/>
          <w:szCs w:val="28"/>
        </w:rPr>
        <w:t>проспективные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8D1BBB">
        <w:rPr>
          <w:bCs/>
          <w:color w:val="000000" w:themeColor="text1"/>
          <w:sz w:val="28"/>
          <w:szCs w:val="28"/>
        </w:rPr>
        <w:t>рандомизированные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исследования у пациентов с ожирением.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68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21E6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F21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F21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2021-02-15T06:59:00Z</dcterms:created>
  <dcterms:modified xsi:type="dcterms:W3CDTF">2021-02-15T07:00:00Z</dcterms:modified>
</cp:coreProperties>
</file>